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F8488" w14:textId="77777777" w:rsidR="00466784" w:rsidRDefault="00466784" w:rsidP="00466784">
      <w:pPr>
        <w:jc w:val="center"/>
        <w:rPr>
          <w:b/>
          <w:sz w:val="28"/>
          <w:szCs w:val="28"/>
        </w:rPr>
      </w:pPr>
      <w:bookmarkStart w:id="0" w:name="_GoBack"/>
      <w:bookmarkEnd w:id="0"/>
      <w:r w:rsidRPr="00466784">
        <w:rPr>
          <w:b/>
          <w:sz w:val="28"/>
          <w:szCs w:val="28"/>
        </w:rPr>
        <w:t>Family Mediation Program</w:t>
      </w:r>
      <w:r>
        <w:rPr>
          <w:b/>
          <w:sz w:val="28"/>
          <w:szCs w:val="28"/>
        </w:rPr>
        <w:t xml:space="preserve"> </w:t>
      </w:r>
    </w:p>
    <w:p w14:paraId="3C2C0C41" w14:textId="77777777" w:rsidR="003E319B" w:rsidRDefault="00466784" w:rsidP="00466784">
      <w:pPr>
        <w:jc w:val="center"/>
        <w:rPr>
          <w:b/>
          <w:sz w:val="28"/>
          <w:szCs w:val="28"/>
        </w:rPr>
      </w:pPr>
      <w:r>
        <w:rPr>
          <w:b/>
          <w:sz w:val="28"/>
          <w:szCs w:val="28"/>
        </w:rPr>
        <w:t>2015 Data</w:t>
      </w:r>
    </w:p>
    <w:p w14:paraId="00DEF1F5" w14:textId="77777777" w:rsidR="00F325AE" w:rsidRDefault="00F325AE" w:rsidP="00466784">
      <w:pPr>
        <w:jc w:val="center"/>
        <w:rPr>
          <w:b/>
          <w:sz w:val="28"/>
          <w:szCs w:val="28"/>
        </w:rPr>
      </w:pPr>
    </w:p>
    <w:p w14:paraId="03F4FD67" w14:textId="77777777" w:rsidR="00466784" w:rsidRDefault="00466784" w:rsidP="00466784">
      <w:pPr>
        <w:jc w:val="center"/>
        <w:rPr>
          <w:b/>
          <w:sz w:val="28"/>
          <w:szCs w:val="28"/>
        </w:rPr>
      </w:pPr>
    </w:p>
    <w:p w14:paraId="68AA1123" w14:textId="77777777" w:rsidR="00F325AE" w:rsidRDefault="006A3BCC" w:rsidP="00F325AE">
      <w:pPr>
        <w:jc w:val="center"/>
        <w:rPr>
          <w:b/>
          <w:sz w:val="28"/>
          <w:szCs w:val="28"/>
        </w:rPr>
      </w:pPr>
      <w:r>
        <w:rPr>
          <w:b/>
          <w:sz w:val="28"/>
          <w:szCs w:val="28"/>
        </w:rPr>
        <w:t>District Court M</w:t>
      </w:r>
      <w:r w:rsidR="00BA1A3C">
        <w:rPr>
          <w:b/>
          <w:sz w:val="28"/>
          <w:szCs w:val="28"/>
        </w:rPr>
        <w:t>ediation c</w:t>
      </w:r>
      <w:r w:rsidR="00F325AE" w:rsidRPr="00F325AE">
        <w:rPr>
          <w:b/>
          <w:sz w:val="28"/>
          <w:szCs w:val="28"/>
        </w:rPr>
        <w:t>ases</w:t>
      </w:r>
    </w:p>
    <w:p w14:paraId="5F60644E" w14:textId="77777777" w:rsidR="00F325AE" w:rsidRDefault="00F325AE" w:rsidP="00F325AE">
      <w:pPr>
        <w:jc w:val="center"/>
        <w:rPr>
          <w:b/>
          <w:sz w:val="28"/>
          <w:szCs w:val="28"/>
        </w:rPr>
      </w:pPr>
    </w:p>
    <w:p w14:paraId="0FF4F734" w14:textId="16C1B1E3" w:rsidR="00A235CF" w:rsidRDefault="000D7511" w:rsidP="00F325AE">
      <w:pPr>
        <w:rPr>
          <w:sz w:val="24"/>
          <w:szCs w:val="24"/>
        </w:rPr>
      </w:pPr>
      <w:r>
        <w:rPr>
          <w:sz w:val="24"/>
          <w:szCs w:val="24"/>
        </w:rPr>
        <w:t>In 2015, there were 60</w:t>
      </w:r>
      <w:r w:rsidR="00A3643E">
        <w:rPr>
          <w:sz w:val="24"/>
          <w:szCs w:val="24"/>
        </w:rPr>
        <w:t>6 cases that completed the</w:t>
      </w:r>
      <w:r w:rsidR="001C5E97">
        <w:rPr>
          <w:sz w:val="24"/>
          <w:szCs w:val="24"/>
        </w:rPr>
        <w:t xml:space="preserve"> mediation</w:t>
      </w:r>
      <w:r w:rsidR="00A3643E">
        <w:rPr>
          <w:sz w:val="24"/>
          <w:szCs w:val="24"/>
        </w:rPr>
        <w:t xml:space="preserve"> process</w:t>
      </w:r>
      <w:r w:rsidR="001C5E97">
        <w:rPr>
          <w:sz w:val="24"/>
          <w:szCs w:val="24"/>
        </w:rPr>
        <w:t xml:space="preserve">. </w:t>
      </w:r>
      <w:r w:rsidR="00A235CF">
        <w:rPr>
          <w:sz w:val="24"/>
          <w:szCs w:val="24"/>
        </w:rPr>
        <w:t xml:space="preserve">Overall, </w:t>
      </w:r>
      <w:r w:rsidR="00CB7ABD">
        <w:rPr>
          <w:sz w:val="24"/>
          <w:szCs w:val="24"/>
        </w:rPr>
        <w:t xml:space="preserve">the average time spent in mediation per case is 5.3 hours (this includes orientation, mediation </w:t>
      </w:r>
      <w:r w:rsidR="00CB7ABD" w:rsidRPr="000D7511">
        <w:rPr>
          <w:sz w:val="24"/>
          <w:szCs w:val="24"/>
        </w:rPr>
        <w:t xml:space="preserve">and </w:t>
      </w:r>
      <w:r w:rsidR="00765BE7" w:rsidRPr="000D7511">
        <w:rPr>
          <w:sz w:val="24"/>
          <w:szCs w:val="24"/>
        </w:rPr>
        <w:t>time spent by the mediator</w:t>
      </w:r>
      <w:r w:rsidRPr="000D7511">
        <w:rPr>
          <w:sz w:val="24"/>
          <w:szCs w:val="24"/>
        </w:rPr>
        <w:t xml:space="preserve"> in writing</w:t>
      </w:r>
      <w:r w:rsidR="00765BE7" w:rsidRPr="000D7511">
        <w:rPr>
          <w:sz w:val="24"/>
          <w:szCs w:val="24"/>
        </w:rPr>
        <w:t xml:space="preserve"> </w:t>
      </w:r>
      <w:r w:rsidR="00CB7ABD" w:rsidRPr="000D7511">
        <w:rPr>
          <w:sz w:val="24"/>
          <w:szCs w:val="24"/>
        </w:rPr>
        <w:t>summary</w:t>
      </w:r>
      <w:r w:rsidR="00765BE7" w:rsidRPr="000D7511">
        <w:rPr>
          <w:sz w:val="24"/>
          <w:szCs w:val="24"/>
        </w:rPr>
        <w:t xml:space="preserve"> of the mediation results</w:t>
      </w:r>
      <w:r w:rsidRPr="000D7511">
        <w:rPr>
          <w:sz w:val="24"/>
          <w:szCs w:val="24"/>
        </w:rPr>
        <w:t xml:space="preserve"> and filing the closing</w:t>
      </w:r>
      <w:r>
        <w:rPr>
          <w:sz w:val="24"/>
          <w:szCs w:val="24"/>
        </w:rPr>
        <w:t xml:space="preserve"> form</w:t>
      </w:r>
      <w:r w:rsidR="00CB7ABD">
        <w:rPr>
          <w:sz w:val="24"/>
          <w:szCs w:val="24"/>
        </w:rPr>
        <w:t>).  The average cost per case that completes the mediation process is $901.</w:t>
      </w:r>
    </w:p>
    <w:p w14:paraId="43BC4AD3" w14:textId="77777777" w:rsidR="00A235CF" w:rsidRDefault="00A235CF" w:rsidP="00F325AE">
      <w:pPr>
        <w:rPr>
          <w:sz w:val="24"/>
          <w:szCs w:val="24"/>
        </w:rPr>
      </w:pPr>
    </w:p>
    <w:tbl>
      <w:tblPr>
        <w:tblStyle w:val="TableGrid"/>
        <w:tblW w:w="0" w:type="auto"/>
        <w:tblInd w:w="1560" w:type="dxa"/>
        <w:tblCellMar>
          <w:left w:w="115" w:type="dxa"/>
          <w:right w:w="115" w:type="dxa"/>
        </w:tblCellMar>
        <w:tblLook w:val="04A0" w:firstRow="1" w:lastRow="0" w:firstColumn="1" w:lastColumn="0" w:noHBand="0" w:noVBand="1"/>
      </w:tblPr>
      <w:tblGrid>
        <w:gridCol w:w="3123"/>
        <w:gridCol w:w="3126"/>
      </w:tblGrid>
      <w:tr w:rsidR="00A3643E" w14:paraId="49F94988" w14:textId="77777777" w:rsidTr="006D5BD2">
        <w:tc>
          <w:tcPr>
            <w:tcW w:w="6249" w:type="dxa"/>
            <w:gridSpan w:val="2"/>
          </w:tcPr>
          <w:p w14:paraId="7D0528C0" w14:textId="70BF6243" w:rsidR="00A3643E" w:rsidRPr="006A3BCC" w:rsidRDefault="00A3643E" w:rsidP="00E977D6">
            <w:pPr>
              <w:jc w:val="center"/>
              <w:rPr>
                <w:b/>
                <w:sz w:val="24"/>
                <w:szCs w:val="24"/>
              </w:rPr>
            </w:pPr>
            <w:r>
              <w:rPr>
                <w:b/>
                <w:sz w:val="24"/>
                <w:szCs w:val="24"/>
              </w:rPr>
              <w:t>Mediation Cases Completed in 2015 by District</w:t>
            </w:r>
          </w:p>
        </w:tc>
      </w:tr>
      <w:tr w:rsidR="00A3643E" w14:paraId="4CCB3CA5" w14:textId="77777777" w:rsidTr="006D5BD2">
        <w:tc>
          <w:tcPr>
            <w:tcW w:w="3123" w:type="dxa"/>
          </w:tcPr>
          <w:p w14:paraId="651A7208" w14:textId="77777777" w:rsidR="00A3643E" w:rsidRPr="006A3BCC" w:rsidRDefault="00A3643E" w:rsidP="00E977D6">
            <w:pPr>
              <w:jc w:val="center"/>
              <w:rPr>
                <w:b/>
                <w:sz w:val="24"/>
                <w:szCs w:val="24"/>
              </w:rPr>
            </w:pPr>
            <w:r w:rsidRPr="006A3BCC">
              <w:rPr>
                <w:b/>
                <w:sz w:val="24"/>
                <w:szCs w:val="24"/>
              </w:rPr>
              <w:t>District</w:t>
            </w:r>
          </w:p>
        </w:tc>
        <w:tc>
          <w:tcPr>
            <w:tcW w:w="3126" w:type="dxa"/>
          </w:tcPr>
          <w:p w14:paraId="42958AC0" w14:textId="77777777" w:rsidR="00A3643E" w:rsidRPr="006A3BCC" w:rsidRDefault="00A3643E" w:rsidP="00E977D6">
            <w:pPr>
              <w:jc w:val="center"/>
              <w:rPr>
                <w:b/>
                <w:sz w:val="24"/>
                <w:szCs w:val="24"/>
              </w:rPr>
            </w:pPr>
            <w:r w:rsidRPr="006A3BCC">
              <w:rPr>
                <w:b/>
                <w:sz w:val="24"/>
                <w:szCs w:val="24"/>
              </w:rPr>
              <w:t>Number of Cases</w:t>
            </w:r>
          </w:p>
        </w:tc>
      </w:tr>
      <w:tr w:rsidR="00A3643E" w14:paraId="60C63A23" w14:textId="77777777" w:rsidTr="006D5BD2">
        <w:tc>
          <w:tcPr>
            <w:tcW w:w="3123" w:type="dxa"/>
          </w:tcPr>
          <w:p w14:paraId="2BE26B79" w14:textId="77777777" w:rsidR="00A3643E" w:rsidRDefault="00A3643E" w:rsidP="00E977D6">
            <w:pPr>
              <w:jc w:val="center"/>
              <w:rPr>
                <w:sz w:val="24"/>
                <w:szCs w:val="24"/>
              </w:rPr>
            </w:pPr>
            <w:r>
              <w:rPr>
                <w:sz w:val="24"/>
                <w:szCs w:val="24"/>
              </w:rPr>
              <w:t>NW</w:t>
            </w:r>
          </w:p>
        </w:tc>
        <w:tc>
          <w:tcPr>
            <w:tcW w:w="3126" w:type="dxa"/>
          </w:tcPr>
          <w:p w14:paraId="2841B928" w14:textId="1D7E309D" w:rsidR="00A3643E" w:rsidRDefault="00A3643E" w:rsidP="00E977D6">
            <w:pPr>
              <w:jc w:val="center"/>
              <w:rPr>
                <w:sz w:val="24"/>
                <w:szCs w:val="24"/>
              </w:rPr>
            </w:pPr>
            <w:r>
              <w:rPr>
                <w:sz w:val="24"/>
                <w:szCs w:val="24"/>
              </w:rPr>
              <w:t>28</w:t>
            </w:r>
          </w:p>
        </w:tc>
      </w:tr>
      <w:tr w:rsidR="00A3643E" w14:paraId="789E20D0" w14:textId="77777777" w:rsidTr="006D5BD2">
        <w:trPr>
          <w:cantSplit/>
        </w:trPr>
        <w:tc>
          <w:tcPr>
            <w:tcW w:w="3123" w:type="dxa"/>
          </w:tcPr>
          <w:p w14:paraId="2FB1368B" w14:textId="77777777" w:rsidR="00A3643E" w:rsidRDefault="00A3643E" w:rsidP="00E977D6">
            <w:pPr>
              <w:jc w:val="center"/>
              <w:rPr>
                <w:sz w:val="24"/>
                <w:szCs w:val="24"/>
              </w:rPr>
            </w:pPr>
            <w:r>
              <w:rPr>
                <w:sz w:val="24"/>
                <w:szCs w:val="24"/>
              </w:rPr>
              <w:t>NC</w:t>
            </w:r>
          </w:p>
        </w:tc>
        <w:tc>
          <w:tcPr>
            <w:tcW w:w="3126" w:type="dxa"/>
          </w:tcPr>
          <w:p w14:paraId="3C864691" w14:textId="7BED184A" w:rsidR="00A3643E" w:rsidRDefault="00A3643E" w:rsidP="00E977D6">
            <w:pPr>
              <w:jc w:val="center"/>
              <w:rPr>
                <w:sz w:val="24"/>
                <w:szCs w:val="24"/>
              </w:rPr>
            </w:pPr>
            <w:r>
              <w:rPr>
                <w:sz w:val="24"/>
                <w:szCs w:val="24"/>
              </w:rPr>
              <w:t>54</w:t>
            </w:r>
          </w:p>
        </w:tc>
      </w:tr>
      <w:tr w:rsidR="00A3643E" w14:paraId="4CACFAA4" w14:textId="77777777" w:rsidTr="006D5BD2">
        <w:trPr>
          <w:cantSplit/>
        </w:trPr>
        <w:tc>
          <w:tcPr>
            <w:tcW w:w="3123" w:type="dxa"/>
          </w:tcPr>
          <w:p w14:paraId="655DC9AA" w14:textId="77777777" w:rsidR="00A3643E" w:rsidRDefault="00A3643E" w:rsidP="00E977D6">
            <w:pPr>
              <w:jc w:val="center"/>
              <w:rPr>
                <w:sz w:val="24"/>
                <w:szCs w:val="24"/>
              </w:rPr>
            </w:pPr>
            <w:r>
              <w:rPr>
                <w:sz w:val="24"/>
                <w:szCs w:val="24"/>
              </w:rPr>
              <w:t>NE</w:t>
            </w:r>
          </w:p>
        </w:tc>
        <w:tc>
          <w:tcPr>
            <w:tcW w:w="3126" w:type="dxa"/>
          </w:tcPr>
          <w:p w14:paraId="5A0E7392" w14:textId="45AD15A7" w:rsidR="00A3643E" w:rsidRDefault="00A3643E" w:rsidP="00E977D6">
            <w:pPr>
              <w:jc w:val="center"/>
              <w:rPr>
                <w:sz w:val="24"/>
                <w:szCs w:val="24"/>
              </w:rPr>
            </w:pPr>
            <w:r>
              <w:rPr>
                <w:sz w:val="24"/>
                <w:szCs w:val="24"/>
              </w:rPr>
              <w:t>50</w:t>
            </w:r>
          </w:p>
        </w:tc>
      </w:tr>
      <w:tr w:rsidR="00A3643E" w14:paraId="2B2D8712" w14:textId="77777777" w:rsidTr="006D5BD2">
        <w:tc>
          <w:tcPr>
            <w:tcW w:w="3123" w:type="dxa"/>
          </w:tcPr>
          <w:p w14:paraId="231847A9" w14:textId="77777777" w:rsidR="00A3643E" w:rsidRDefault="00A3643E" w:rsidP="00E977D6">
            <w:pPr>
              <w:jc w:val="center"/>
              <w:rPr>
                <w:sz w:val="24"/>
                <w:szCs w:val="24"/>
              </w:rPr>
            </w:pPr>
            <w:r>
              <w:rPr>
                <w:sz w:val="24"/>
                <w:szCs w:val="24"/>
              </w:rPr>
              <w:t>NEC</w:t>
            </w:r>
          </w:p>
        </w:tc>
        <w:tc>
          <w:tcPr>
            <w:tcW w:w="3126" w:type="dxa"/>
          </w:tcPr>
          <w:p w14:paraId="7581EF50" w14:textId="40FBF937" w:rsidR="00A3643E" w:rsidRDefault="00A3643E" w:rsidP="00E977D6">
            <w:pPr>
              <w:jc w:val="center"/>
              <w:rPr>
                <w:sz w:val="24"/>
                <w:szCs w:val="24"/>
              </w:rPr>
            </w:pPr>
            <w:r>
              <w:rPr>
                <w:sz w:val="24"/>
                <w:szCs w:val="24"/>
              </w:rPr>
              <w:t>75</w:t>
            </w:r>
          </w:p>
        </w:tc>
      </w:tr>
      <w:tr w:rsidR="00A3643E" w14:paraId="565C8B18" w14:textId="77777777" w:rsidTr="006D5BD2">
        <w:tc>
          <w:tcPr>
            <w:tcW w:w="3123" w:type="dxa"/>
          </w:tcPr>
          <w:p w14:paraId="0CA38C84" w14:textId="77777777" w:rsidR="00A3643E" w:rsidRDefault="00A3643E" w:rsidP="00E977D6">
            <w:pPr>
              <w:jc w:val="center"/>
              <w:rPr>
                <w:sz w:val="24"/>
                <w:szCs w:val="24"/>
              </w:rPr>
            </w:pPr>
            <w:r>
              <w:rPr>
                <w:sz w:val="24"/>
                <w:szCs w:val="24"/>
              </w:rPr>
              <w:t>EC</w:t>
            </w:r>
          </w:p>
        </w:tc>
        <w:tc>
          <w:tcPr>
            <w:tcW w:w="3126" w:type="dxa"/>
          </w:tcPr>
          <w:p w14:paraId="795268A9" w14:textId="67ABBD4B" w:rsidR="00A3643E" w:rsidRDefault="00A3643E" w:rsidP="00E977D6">
            <w:pPr>
              <w:jc w:val="center"/>
              <w:rPr>
                <w:sz w:val="24"/>
                <w:szCs w:val="24"/>
              </w:rPr>
            </w:pPr>
            <w:r>
              <w:rPr>
                <w:sz w:val="24"/>
                <w:szCs w:val="24"/>
              </w:rPr>
              <w:t>159</w:t>
            </w:r>
          </w:p>
        </w:tc>
      </w:tr>
      <w:tr w:rsidR="00A3643E" w14:paraId="14B19584" w14:textId="77777777" w:rsidTr="006D5BD2">
        <w:tc>
          <w:tcPr>
            <w:tcW w:w="3123" w:type="dxa"/>
          </w:tcPr>
          <w:p w14:paraId="3750EF63" w14:textId="77777777" w:rsidR="00A3643E" w:rsidRDefault="00A3643E" w:rsidP="00E977D6">
            <w:pPr>
              <w:jc w:val="center"/>
              <w:rPr>
                <w:sz w:val="24"/>
                <w:szCs w:val="24"/>
              </w:rPr>
            </w:pPr>
            <w:r>
              <w:rPr>
                <w:sz w:val="24"/>
                <w:szCs w:val="24"/>
              </w:rPr>
              <w:t>SE</w:t>
            </w:r>
          </w:p>
        </w:tc>
        <w:tc>
          <w:tcPr>
            <w:tcW w:w="3126" w:type="dxa"/>
          </w:tcPr>
          <w:p w14:paraId="36FC705F" w14:textId="3E27094A" w:rsidR="00A3643E" w:rsidRDefault="00A3643E" w:rsidP="00E977D6">
            <w:pPr>
              <w:jc w:val="center"/>
              <w:rPr>
                <w:sz w:val="24"/>
                <w:szCs w:val="24"/>
              </w:rPr>
            </w:pPr>
            <w:r>
              <w:rPr>
                <w:sz w:val="24"/>
                <w:szCs w:val="24"/>
              </w:rPr>
              <w:t>69</w:t>
            </w:r>
          </w:p>
        </w:tc>
      </w:tr>
      <w:tr w:rsidR="00A3643E" w14:paraId="0BDB683E" w14:textId="77777777" w:rsidTr="006D5BD2">
        <w:trPr>
          <w:cantSplit/>
        </w:trPr>
        <w:tc>
          <w:tcPr>
            <w:tcW w:w="3123" w:type="dxa"/>
          </w:tcPr>
          <w:p w14:paraId="7BC1A7BD" w14:textId="77777777" w:rsidR="00A3643E" w:rsidRDefault="00A3643E" w:rsidP="00E977D6">
            <w:pPr>
              <w:jc w:val="center"/>
              <w:rPr>
                <w:sz w:val="24"/>
                <w:szCs w:val="24"/>
              </w:rPr>
            </w:pPr>
            <w:r>
              <w:rPr>
                <w:sz w:val="24"/>
                <w:szCs w:val="24"/>
              </w:rPr>
              <w:t>SC</w:t>
            </w:r>
          </w:p>
        </w:tc>
        <w:tc>
          <w:tcPr>
            <w:tcW w:w="3126" w:type="dxa"/>
          </w:tcPr>
          <w:p w14:paraId="4F4D061B" w14:textId="52CC0E26" w:rsidR="00A3643E" w:rsidRDefault="00A3643E" w:rsidP="00E977D6">
            <w:pPr>
              <w:jc w:val="center"/>
              <w:rPr>
                <w:sz w:val="24"/>
                <w:szCs w:val="24"/>
              </w:rPr>
            </w:pPr>
            <w:r>
              <w:rPr>
                <w:sz w:val="24"/>
                <w:szCs w:val="24"/>
              </w:rPr>
              <w:t>133</w:t>
            </w:r>
          </w:p>
        </w:tc>
      </w:tr>
      <w:tr w:rsidR="00A3643E" w14:paraId="23C2F678" w14:textId="77777777" w:rsidTr="006D5BD2">
        <w:tc>
          <w:tcPr>
            <w:tcW w:w="3123" w:type="dxa"/>
          </w:tcPr>
          <w:p w14:paraId="7B3AB91C" w14:textId="77777777" w:rsidR="00A3643E" w:rsidRDefault="00A3643E" w:rsidP="00E977D6">
            <w:pPr>
              <w:jc w:val="center"/>
              <w:rPr>
                <w:sz w:val="24"/>
                <w:szCs w:val="24"/>
              </w:rPr>
            </w:pPr>
            <w:r>
              <w:rPr>
                <w:sz w:val="24"/>
                <w:szCs w:val="24"/>
              </w:rPr>
              <w:t>SW</w:t>
            </w:r>
          </w:p>
        </w:tc>
        <w:tc>
          <w:tcPr>
            <w:tcW w:w="3126" w:type="dxa"/>
          </w:tcPr>
          <w:p w14:paraId="16DC55EB" w14:textId="4EB1AA5A" w:rsidR="00A3643E" w:rsidRDefault="00A3643E" w:rsidP="00E977D6">
            <w:pPr>
              <w:jc w:val="center"/>
              <w:rPr>
                <w:sz w:val="24"/>
                <w:szCs w:val="24"/>
              </w:rPr>
            </w:pPr>
            <w:r>
              <w:rPr>
                <w:sz w:val="24"/>
                <w:szCs w:val="24"/>
              </w:rPr>
              <w:t>38</w:t>
            </w:r>
          </w:p>
        </w:tc>
      </w:tr>
      <w:tr w:rsidR="00A3643E" w14:paraId="3B20C272" w14:textId="77777777" w:rsidTr="006D5BD2">
        <w:tc>
          <w:tcPr>
            <w:tcW w:w="3123" w:type="dxa"/>
          </w:tcPr>
          <w:p w14:paraId="09761504" w14:textId="77777777" w:rsidR="00A3643E" w:rsidRPr="004907F0" w:rsidRDefault="00A3643E" w:rsidP="00E977D6">
            <w:pPr>
              <w:ind w:left="720" w:hanging="720"/>
              <w:jc w:val="center"/>
              <w:rPr>
                <w:b/>
                <w:sz w:val="24"/>
                <w:szCs w:val="24"/>
              </w:rPr>
            </w:pPr>
            <w:r w:rsidRPr="004907F0">
              <w:rPr>
                <w:b/>
                <w:sz w:val="24"/>
                <w:szCs w:val="24"/>
              </w:rPr>
              <w:t>TOTAL</w:t>
            </w:r>
          </w:p>
        </w:tc>
        <w:tc>
          <w:tcPr>
            <w:tcW w:w="3126" w:type="dxa"/>
          </w:tcPr>
          <w:p w14:paraId="1210EF81" w14:textId="259C9B46" w:rsidR="00A3643E" w:rsidRPr="004907F0" w:rsidRDefault="00A3643E" w:rsidP="00E977D6">
            <w:pPr>
              <w:jc w:val="center"/>
              <w:rPr>
                <w:b/>
                <w:sz w:val="24"/>
                <w:szCs w:val="24"/>
              </w:rPr>
            </w:pPr>
            <w:r>
              <w:rPr>
                <w:b/>
                <w:sz w:val="24"/>
                <w:szCs w:val="24"/>
              </w:rPr>
              <w:t>606</w:t>
            </w:r>
          </w:p>
        </w:tc>
      </w:tr>
    </w:tbl>
    <w:p w14:paraId="72D06581" w14:textId="77777777" w:rsidR="007310AC" w:rsidRDefault="007310AC" w:rsidP="007310AC">
      <w:pPr>
        <w:jc w:val="center"/>
        <w:rPr>
          <w:sz w:val="24"/>
          <w:szCs w:val="24"/>
        </w:rPr>
      </w:pPr>
    </w:p>
    <w:p w14:paraId="298F5EB0" w14:textId="77777777" w:rsidR="00844B3C" w:rsidRDefault="00844B3C" w:rsidP="00F325AE">
      <w:pPr>
        <w:rPr>
          <w:sz w:val="24"/>
          <w:szCs w:val="24"/>
        </w:rPr>
      </w:pPr>
    </w:p>
    <w:p w14:paraId="7C305E33" w14:textId="2D039BF8" w:rsidR="002A56EB" w:rsidRDefault="002A56EB" w:rsidP="00F325AE">
      <w:pPr>
        <w:rPr>
          <w:sz w:val="24"/>
          <w:szCs w:val="24"/>
        </w:rPr>
      </w:pPr>
      <w:r>
        <w:rPr>
          <w:sz w:val="24"/>
          <w:szCs w:val="24"/>
        </w:rPr>
        <w:t>Overall, the number of cases that reached full settle</w:t>
      </w:r>
      <w:r w:rsidR="000D7511">
        <w:rPr>
          <w:sz w:val="24"/>
          <w:szCs w:val="24"/>
        </w:rPr>
        <w:t xml:space="preserve">ment </w:t>
      </w:r>
      <w:r w:rsidR="00604ECD">
        <w:rPr>
          <w:sz w:val="24"/>
          <w:szCs w:val="24"/>
        </w:rPr>
        <w:t xml:space="preserve">of primary residential responsibility or parenting time issues </w:t>
      </w:r>
      <w:r w:rsidR="00F62EC4">
        <w:rPr>
          <w:sz w:val="24"/>
          <w:szCs w:val="24"/>
        </w:rPr>
        <w:t>through mediation was 304</w:t>
      </w:r>
      <w:r w:rsidR="000D7511">
        <w:rPr>
          <w:sz w:val="24"/>
          <w:szCs w:val="24"/>
        </w:rPr>
        <w:t xml:space="preserve"> </w:t>
      </w:r>
      <w:r w:rsidR="00F62EC4">
        <w:rPr>
          <w:sz w:val="24"/>
          <w:szCs w:val="24"/>
        </w:rPr>
        <w:t>with an additional 193</w:t>
      </w:r>
      <w:r>
        <w:rPr>
          <w:sz w:val="24"/>
          <w:szCs w:val="24"/>
        </w:rPr>
        <w:t xml:space="preserve"> cases reaching part</w:t>
      </w:r>
      <w:r w:rsidR="00F62EC4">
        <w:rPr>
          <w:sz w:val="24"/>
          <w:szCs w:val="24"/>
        </w:rPr>
        <w:t>ial settlement. There were 109</w:t>
      </w:r>
      <w:r>
        <w:rPr>
          <w:sz w:val="24"/>
          <w:szCs w:val="24"/>
        </w:rPr>
        <w:t xml:space="preserve"> cases in which mediation was unsuccessful. </w:t>
      </w:r>
    </w:p>
    <w:p w14:paraId="669AC9AE" w14:textId="77777777" w:rsidR="00844B3C" w:rsidRDefault="002A56EB" w:rsidP="00F325AE">
      <w:pPr>
        <w:rPr>
          <w:sz w:val="24"/>
          <w:szCs w:val="24"/>
        </w:rPr>
      </w:pPr>
      <w:r>
        <w:rPr>
          <w:sz w:val="24"/>
          <w:szCs w:val="24"/>
        </w:rPr>
        <w:t xml:space="preserve"> </w:t>
      </w:r>
    </w:p>
    <w:p w14:paraId="5B37FB7D" w14:textId="033B292F" w:rsidR="00F325AE" w:rsidRDefault="001C5E97" w:rsidP="00F325AE">
      <w:pPr>
        <w:rPr>
          <w:sz w:val="24"/>
          <w:szCs w:val="24"/>
        </w:rPr>
      </w:pPr>
      <w:r>
        <w:rPr>
          <w:sz w:val="24"/>
          <w:szCs w:val="24"/>
        </w:rPr>
        <w:t>There were 380 cases (</w:t>
      </w:r>
      <w:r w:rsidR="00F325AE">
        <w:rPr>
          <w:sz w:val="24"/>
          <w:szCs w:val="24"/>
        </w:rPr>
        <w:t>64% of the total</w:t>
      </w:r>
      <w:r w:rsidR="00F325AE" w:rsidRPr="00F325AE">
        <w:rPr>
          <w:sz w:val="24"/>
          <w:szCs w:val="24"/>
        </w:rPr>
        <w:t xml:space="preserve"> </w:t>
      </w:r>
      <w:r w:rsidR="00F62EC4">
        <w:rPr>
          <w:sz w:val="24"/>
          <w:szCs w:val="24"/>
        </w:rPr>
        <w:t xml:space="preserve">completed </w:t>
      </w:r>
      <w:r w:rsidR="00F325AE" w:rsidRPr="00F325AE">
        <w:rPr>
          <w:sz w:val="24"/>
          <w:szCs w:val="24"/>
        </w:rPr>
        <w:t>cases for 2015</w:t>
      </w:r>
      <w:r>
        <w:rPr>
          <w:sz w:val="24"/>
          <w:szCs w:val="24"/>
        </w:rPr>
        <w:t xml:space="preserve">) in which the parties </w:t>
      </w:r>
      <w:r w:rsidR="00F325AE">
        <w:rPr>
          <w:sz w:val="24"/>
          <w:szCs w:val="24"/>
        </w:rPr>
        <w:t xml:space="preserve">spent </w:t>
      </w:r>
      <w:r w:rsidR="00F325AE" w:rsidRPr="00F325AE">
        <w:rPr>
          <w:sz w:val="24"/>
          <w:szCs w:val="24"/>
        </w:rPr>
        <w:t xml:space="preserve">over 4 hours </w:t>
      </w:r>
      <w:r w:rsidR="00F325AE">
        <w:rPr>
          <w:sz w:val="24"/>
          <w:szCs w:val="24"/>
        </w:rPr>
        <w:t>in mediation</w:t>
      </w:r>
      <w:r w:rsidR="00F325AE" w:rsidRPr="00F325AE">
        <w:rPr>
          <w:sz w:val="24"/>
          <w:szCs w:val="24"/>
        </w:rPr>
        <w:t xml:space="preserve">.  </w:t>
      </w:r>
      <w:r>
        <w:rPr>
          <w:sz w:val="24"/>
          <w:szCs w:val="24"/>
        </w:rPr>
        <w:t xml:space="preserve">In </w:t>
      </w:r>
      <w:r w:rsidR="00F325AE">
        <w:rPr>
          <w:sz w:val="24"/>
          <w:szCs w:val="24"/>
        </w:rPr>
        <w:t xml:space="preserve">86% of the cases that went over 4 hours </w:t>
      </w:r>
      <w:r>
        <w:rPr>
          <w:sz w:val="24"/>
          <w:szCs w:val="24"/>
        </w:rPr>
        <w:t xml:space="preserve">the parties </w:t>
      </w:r>
      <w:r w:rsidR="00F325AE">
        <w:rPr>
          <w:sz w:val="24"/>
          <w:szCs w:val="24"/>
        </w:rPr>
        <w:t xml:space="preserve">settled some or all of the issues in the case.  </w:t>
      </w:r>
      <w:r>
        <w:rPr>
          <w:sz w:val="24"/>
          <w:szCs w:val="24"/>
        </w:rPr>
        <w:t>In 14% of the cases that went over 4 hours the parties di</w:t>
      </w:r>
      <w:r w:rsidR="00F325AE">
        <w:rPr>
          <w:sz w:val="24"/>
          <w:szCs w:val="24"/>
        </w:rPr>
        <w:t>d not settle any issues.</w:t>
      </w:r>
    </w:p>
    <w:p w14:paraId="0DB7DE1A" w14:textId="77777777" w:rsidR="00F325AE" w:rsidRDefault="00F325AE" w:rsidP="00F325AE">
      <w:pPr>
        <w:rPr>
          <w:sz w:val="24"/>
          <w:szCs w:val="24"/>
        </w:rPr>
      </w:pPr>
    </w:p>
    <w:p w14:paraId="61D0504D" w14:textId="0FA7A414" w:rsidR="00F325AE" w:rsidRDefault="001C5E97" w:rsidP="00F325AE">
      <w:pPr>
        <w:rPr>
          <w:sz w:val="24"/>
          <w:szCs w:val="24"/>
        </w:rPr>
      </w:pPr>
      <w:r>
        <w:rPr>
          <w:sz w:val="24"/>
          <w:szCs w:val="24"/>
        </w:rPr>
        <w:t xml:space="preserve">There were </w:t>
      </w:r>
      <w:r w:rsidR="00F325AE">
        <w:rPr>
          <w:sz w:val="24"/>
          <w:szCs w:val="24"/>
        </w:rPr>
        <w:t xml:space="preserve">216 cases (36% of the total </w:t>
      </w:r>
      <w:r w:rsidR="00F62EC4">
        <w:rPr>
          <w:sz w:val="24"/>
          <w:szCs w:val="24"/>
        </w:rPr>
        <w:t xml:space="preserve">completed </w:t>
      </w:r>
      <w:r w:rsidR="00F325AE">
        <w:rPr>
          <w:sz w:val="24"/>
          <w:szCs w:val="24"/>
        </w:rPr>
        <w:t xml:space="preserve">cases for 2015) </w:t>
      </w:r>
      <w:r>
        <w:rPr>
          <w:sz w:val="24"/>
          <w:szCs w:val="24"/>
        </w:rPr>
        <w:t xml:space="preserve">in which the parties </w:t>
      </w:r>
      <w:r w:rsidR="00F325AE">
        <w:rPr>
          <w:sz w:val="24"/>
          <w:szCs w:val="24"/>
        </w:rPr>
        <w:t>spent</w:t>
      </w:r>
      <w:r>
        <w:rPr>
          <w:sz w:val="24"/>
          <w:szCs w:val="24"/>
        </w:rPr>
        <w:t xml:space="preserve"> 4 hour</w:t>
      </w:r>
      <w:r w:rsidR="00B0734C">
        <w:rPr>
          <w:sz w:val="24"/>
          <w:szCs w:val="24"/>
        </w:rPr>
        <w:t>s</w:t>
      </w:r>
      <w:r>
        <w:rPr>
          <w:sz w:val="24"/>
          <w:szCs w:val="24"/>
        </w:rPr>
        <w:t xml:space="preserve"> or less in mediation.  In 6</w:t>
      </w:r>
      <w:r w:rsidR="00F325AE">
        <w:rPr>
          <w:sz w:val="24"/>
          <w:szCs w:val="24"/>
        </w:rPr>
        <w:t xml:space="preserve">0% </w:t>
      </w:r>
      <w:r>
        <w:rPr>
          <w:sz w:val="24"/>
          <w:szCs w:val="24"/>
        </w:rPr>
        <w:t xml:space="preserve">of the cases that went 4 hours or less the parties </w:t>
      </w:r>
      <w:r w:rsidR="00F325AE">
        <w:rPr>
          <w:sz w:val="24"/>
          <w:szCs w:val="24"/>
        </w:rPr>
        <w:t xml:space="preserve">settled some or all of the issues in the case.  </w:t>
      </w:r>
      <w:r>
        <w:rPr>
          <w:sz w:val="24"/>
          <w:szCs w:val="24"/>
        </w:rPr>
        <w:t xml:space="preserve">In </w:t>
      </w:r>
      <w:r w:rsidR="00F325AE">
        <w:rPr>
          <w:sz w:val="24"/>
          <w:szCs w:val="24"/>
        </w:rPr>
        <w:t>40%</w:t>
      </w:r>
      <w:r>
        <w:rPr>
          <w:sz w:val="24"/>
          <w:szCs w:val="24"/>
        </w:rPr>
        <w:t xml:space="preserve"> of the cases that went 4 hours or less the parties </w:t>
      </w:r>
      <w:r w:rsidR="00F325AE">
        <w:rPr>
          <w:sz w:val="24"/>
          <w:szCs w:val="24"/>
        </w:rPr>
        <w:t>did not settle any issues</w:t>
      </w:r>
    </w:p>
    <w:p w14:paraId="31FCEE65" w14:textId="77777777" w:rsidR="00604ECD" w:rsidRDefault="00604ECD" w:rsidP="004907F0">
      <w:pPr>
        <w:jc w:val="center"/>
        <w:rPr>
          <w:b/>
          <w:sz w:val="28"/>
          <w:szCs w:val="28"/>
        </w:rPr>
      </w:pPr>
    </w:p>
    <w:p w14:paraId="0FA59768" w14:textId="77777777" w:rsidR="004907F0" w:rsidRDefault="004907F0" w:rsidP="004907F0">
      <w:pPr>
        <w:jc w:val="center"/>
        <w:rPr>
          <w:b/>
          <w:sz w:val="28"/>
          <w:szCs w:val="28"/>
        </w:rPr>
      </w:pPr>
      <w:r>
        <w:rPr>
          <w:b/>
          <w:sz w:val="28"/>
          <w:szCs w:val="28"/>
        </w:rPr>
        <w:t xml:space="preserve">District Court Post Judgment Cases </w:t>
      </w:r>
    </w:p>
    <w:p w14:paraId="5EAE26CE" w14:textId="77777777" w:rsidR="00BA1A3C" w:rsidRDefault="00BA1A3C" w:rsidP="00F325AE">
      <w:pPr>
        <w:rPr>
          <w:sz w:val="24"/>
          <w:szCs w:val="24"/>
        </w:rPr>
      </w:pPr>
    </w:p>
    <w:p w14:paraId="5A138540" w14:textId="3C8229C1" w:rsidR="004907F0" w:rsidRDefault="004907F0" w:rsidP="004907F0">
      <w:pPr>
        <w:rPr>
          <w:sz w:val="24"/>
          <w:szCs w:val="24"/>
        </w:rPr>
      </w:pPr>
      <w:r>
        <w:rPr>
          <w:sz w:val="24"/>
          <w:szCs w:val="24"/>
        </w:rPr>
        <w:t xml:space="preserve">There were </w:t>
      </w:r>
      <w:r w:rsidR="000D7511" w:rsidRPr="000D7511">
        <w:rPr>
          <w:sz w:val="24"/>
          <w:szCs w:val="24"/>
        </w:rPr>
        <w:t>1</w:t>
      </w:r>
      <w:r w:rsidRPr="000D7511">
        <w:rPr>
          <w:sz w:val="24"/>
          <w:szCs w:val="24"/>
        </w:rPr>
        <w:t>50</w:t>
      </w:r>
      <w:r>
        <w:rPr>
          <w:sz w:val="24"/>
          <w:szCs w:val="24"/>
        </w:rPr>
        <w:t xml:space="preserve"> post judgment modification cases in</w:t>
      </w:r>
      <w:r w:rsidR="00E74223">
        <w:rPr>
          <w:sz w:val="24"/>
          <w:szCs w:val="24"/>
        </w:rPr>
        <w:t xml:space="preserve"> 2015.  This represents </w:t>
      </w:r>
      <w:r w:rsidR="00604ECD">
        <w:rPr>
          <w:sz w:val="24"/>
          <w:szCs w:val="24"/>
        </w:rPr>
        <w:t>25</w:t>
      </w:r>
      <w:r>
        <w:rPr>
          <w:sz w:val="24"/>
          <w:szCs w:val="24"/>
        </w:rPr>
        <w:t xml:space="preserve">% of the cases that reach completion in the Family Mediation Program.  The average time for completion of a </w:t>
      </w:r>
      <w:r>
        <w:rPr>
          <w:sz w:val="24"/>
          <w:szCs w:val="24"/>
        </w:rPr>
        <w:lastRenderedPageBreak/>
        <w:t>post judgment modification case in 2015 was 3.6 hours.  The estimated cost of these cases was $91,800 in 2015.</w:t>
      </w:r>
    </w:p>
    <w:p w14:paraId="39EBCEFA" w14:textId="77777777" w:rsidR="004907F0" w:rsidRDefault="004907F0" w:rsidP="004907F0">
      <w:pPr>
        <w:rPr>
          <w:sz w:val="24"/>
          <w:szCs w:val="24"/>
        </w:rPr>
      </w:pPr>
    </w:p>
    <w:tbl>
      <w:tblPr>
        <w:tblStyle w:val="TableGrid"/>
        <w:tblW w:w="0" w:type="auto"/>
        <w:tblInd w:w="1567" w:type="dxa"/>
        <w:tblCellMar>
          <w:left w:w="115" w:type="dxa"/>
          <w:right w:w="115" w:type="dxa"/>
        </w:tblCellMar>
        <w:tblLook w:val="04A0" w:firstRow="1" w:lastRow="0" w:firstColumn="1" w:lastColumn="0" w:noHBand="0" w:noVBand="1"/>
      </w:tblPr>
      <w:tblGrid>
        <w:gridCol w:w="3115"/>
        <w:gridCol w:w="3118"/>
      </w:tblGrid>
      <w:tr w:rsidR="00252154" w14:paraId="6AC2B411" w14:textId="77777777" w:rsidTr="006D5BD2">
        <w:tc>
          <w:tcPr>
            <w:tcW w:w="6233" w:type="dxa"/>
            <w:gridSpan w:val="2"/>
          </w:tcPr>
          <w:p w14:paraId="2CE1BAA9" w14:textId="15B3A258" w:rsidR="00252154" w:rsidRPr="006A3BCC" w:rsidRDefault="00252154" w:rsidP="003A55D2">
            <w:pPr>
              <w:jc w:val="center"/>
              <w:rPr>
                <w:b/>
                <w:sz w:val="24"/>
                <w:szCs w:val="24"/>
              </w:rPr>
            </w:pPr>
            <w:r>
              <w:rPr>
                <w:b/>
                <w:sz w:val="24"/>
                <w:szCs w:val="24"/>
              </w:rPr>
              <w:t>Post Judgment Cases Completed in 2015 by District</w:t>
            </w:r>
          </w:p>
        </w:tc>
      </w:tr>
      <w:tr w:rsidR="00252154" w14:paraId="3D72A6EE" w14:textId="77777777" w:rsidTr="006D5BD2">
        <w:tc>
          <w:tcPr>
            <w:tcW w:w="3115" w:type="dxa"/>
          </w:tcPr>
          <w:p w14:paraId="6BA4E0EC" w14:textId="77777777" w:rsidR="00252154" w:rsidRPr="006A3BCC" w:rsidRDefault="00252154" w:rsidP="003A55D2">
            <w:pPr>
              <w:jc w:val="center"/>
              <w:rPr>
                <w:b/>
                <w:sz w:val="24"/>
                <w:szCs w:val="24"/>
              </w:rPr>
            </w:pPr>
            <w:r w:rsidRPr="006A3BCC">
              <w:rPr>
                <w:b/>
                <w:sz w:val="24"/>
                <w:szCs w:val="24"/>
              </w:rPr>
              <w:t>District</w:t>
            </w:r>
          </w:p>
        </w:tc>
        <w:tc>
          <w:tcPr>
            <w:tcW w:w="3118" w:type="dxa"/>
          </w:tcPr>
          <w:p w14:paraId="2F55B7F2" w14:textId="77777777" w:rsidR="00252154" w:rsidRPr="006A3BCC" w:rsidRDefault="00252154" w:rsidP="003A55D2">
            <w:pPr>
              <w:jc w:val="center"/>
              <w:rPr>
                <w:b/>
                <w:sz w:val="24"/>
                <w:szCs w:val="24"/>
              </w:rPr>
            </w:pPr>
            <w:r w:rsidRPr="006A3BCC">
              <w:rPr>
                <w:b/>
                <w:sz w:val="24"/>
                <w:szCs w:val="24"/>
              </w:rPr>
              <w:t>Number of Cases</w:t>
            </w:r>
          </w:p>
        </w:tc>
      </w:tr>
      <w:tr w:rsidR="00252154" w14:paraId="351FCB4F" w14:textId="77777777" w:rsidTr="006D5BD2">
        <w:tc>
          <w:tcPr>
            <w:tcW w:w="3115" w:type="dxa"/>
          </w:tcPr>
          <w:p w14:paraId="727ACAF4" w14:textId="77777777" w:rsidR="00252154" w:rsidRDefault="00252154" w:rsidP="003A55D2">
            <w:pPr>
              <w:jc w:val="center"/>
              <w:rPr>
                <w:sz w:val="24"/>
                <w:szCs w:val="24"/>
              </w:rPr>
            </w:pPr>
            <w:r>
              <w:rPr>
                <w:sz w:val="24"/>
                <w:szCs w:val="24"/>
              </w:rPr>
              <w:t>NW</w:t>
            </w:r>
          </w:p>
        </w:tc>
        <w:tc>
          <w:tcPr>
            <w:tcW w:w="3118" w:type="dxa"/>
          </w:tcPr>
          <w:p w14:paraId="6BC8F251" w14:textId="77777777" w:rsidR="00252154" w:rsidRDefault="00252154" w:rsidP="003A55D2">
            <w:pPr>
              <w:jc w:val="center"/>
              <w:rPr>
                <w:sz w:val="24"/>
                <w:szCs w:val="24"/>
              </w:rPr>
            </w:pPr>
            <w:r>
              <w:rPr>
                <w:sz w:val="24"/>
                <w:szCs w:val="24"/>
              </w:rPr>
              <w:t>7</w:t>
            </w:r>
          </w:p>
        </w:tc>
      </w:tr>
      <w:tr w:rsidR="00252154" w14:paraId="6B09D5A0" w14:textId="77777777" w:rsidTr="006D5BD2">
        <w:trPr>
          <w:cantSplit/>
        </w:trPr>
        <w:tc>
          <w:tcPr>
            <w:tcW w:w="3115" w:type="dxa"/>
          </w:tcPr>
          <w:p w14:paraId="1FC76846" w14:textId="77777777" w:rsidR="00252154" w:rsidRDefault="00252154" w:rsidP="003A55D2">
            <w:pPr>
              <w:jc w:val="center"/>
              <w:rPr>
                <w:sz w:val="24"/>
                <w:szCs w:val="24"/>
              </w:rPr>
            </w:pPr>
            <w:r>
              <w:rPr>
                <w:sz w:val="24"/>
                <w:szCs w:val="24"/>
              </w:rPr>
              <w:t>NC</w:t>
            </w:r>
          </w:p>
        </w:tc>
        <w:tc>
          <w:tcPr>
            <w:tcW w:w="3118" w:type="dxa"/>
          </w:tcPr>
          <w:p w14:paraId="3FF7FF59" w14:textId="77777777" w:rsidR="00252154" w:rsidRDefault="00252154" w:rsidP="003A55D2">
            <w:pPr>
              <w:jc w:val="center"/>
              <w:rPr>
                <w:sz w:val="24"/>
                <w:szCs w:val="24"/>
              </w:rPr>
            </w:pPr>
            <w:r>
              <w:rPr>
                <w:sz w:val="24"/>
                <w:szCs w:val="24"/>
              </w:rPr>
              <w:t>12</w:t>
            </w:r>
          </w:p>
        </w:tc>
      </w:tr>
      <w:tr w:rsidR="00252154" w14:paraId="4B5717D6" w14:textId="77777777" w:rsidTr="006D5BD2">
        <w:trPr>
          <w:cantSplit/>
        </w:trPr>
        <w:tc>
          <w:tcPr>
            <w:tcW w:w="3115" w:type="dxa"/>
          </w:tcPr>
          <w:p w14:paraId="73554991" w14:textId="77777777" w:rsidR="00252154" w:rsidRDefault="00252154" w:rsidP="003A55D2">
            <w:pPr>
              <w:jc w:val="center"/>
              <w:rPr>
                <w:sz w:val="24"/>
                <w:szCs w:val="24"/>
              </w:rPr>
            </w:pPr>
            <w:r>
              <w:rPr>
                <w:sz w:val="24"/>
                <w:szCs w:val="24"/>
              </w:rPr>
              <w:t>NE</w:t>
            </w:r>
          </w:p>
        </w:tc>
        <w:tc>
          <w:tcPr>
            <w:tcW w:w="3118" w:type="dxa"/>
          </w:tcPr>
          <w:p w14:paraId="29F435FD" w14:textId="77777777" w:rsidR="00252154" w:rsidRDefault="00252154" w:rsidP="003A55D2">
            <w:pPr>
              <w:jc w:val="center"/>
              <w:rPr>
                <w:sz w:val="24"/>
                <w:szCs w:val="24"/>
              </w:rPr>
            </w:pPr>
            <w:r>
              <w:rPr>
                <w:sz w:val="24"/>
                <w:szCs w:val="24"/>
              </w:rPr>
              <w:t>6</w:t>
            </w:r>
          </w:p>
        </w:tc>
      </w:tr>
      <w:tr w:rsidR="00252154" w14:paraId="062C43BD" w14:textId="77777777" w:rsidTr="006D5BD2">
        <w:tc>
          <w:tcPr>
            <w:tcW w:w="3115" w:type="dxa"/>
          </w:tcPr>
          <w:p w14:paraId="673A521E" w14:textId="77777777" w:rsidR="00252154" w:rsidRDefault="00252154" w:rsidP="003A55D2">
            <w:pPr>
              <w:jc w:val="center"/>
              <w:rPr>
                <w:sz w:val="24"/>
                <w:szCs w:val="24"/>
              </w:rPr>
            </w:pPr>
            <w:r>
              <w:rPr>
                <w:sz w:val="24"/>
                <w:szCs w:val="24"/>
              </w:rPr>
              <w:t>NEC</w:t>
            </w:r>
          </w:p>
        </w:tc>
        <w:tc>
          <w:tcPr>
            <w:tcW w:w="3118" w:type="dxa"/>
          </w:tcPr>
          <w:p w14:paraId="436D3FE2" w14:textId="77777777" w:rsidR="00252154" w:rsidRDefault="00252154" w:rsidP="003A55D2">
            <w:pPr>
              <w:jc w:val="center"/>
              <w:rPr>
                <w:sz w:val="24"/>
                <w:szCs w:val="24"/>
              </w:rPr>
            </w:pPr>
            <w:r>
              <w:rPr>
                <w:sz w:val="24"/>
                <w:szCs w:val="24"/>
              </w:rPr>
              <w:t>21</w:t>
            </w:r>
          </w:p>
        </w:tc>
      </w:tr>
      <w:tr w:rsidR="00252154" w14:paraId="1C6DF8CA" w14:textId="77777777" w:rsidTr="006D5BD2">
        <w:tc>
          <w:tcPr>
            <w:tcW w:w="3115" w:type="dxa"/>
          </w:tcPr>
          <w:p w14:paraId="6B2F702A" w14:textId="77777777" w:rsidR="00252154" w:rsidRDefault="00252154" w:rsidP="003A55D2">
            <w:pPr>
              <w:jc w:val="center"/>
              <w:rPr>
                <w:sz w:val="24"/>
                <w:szCs w:val="24"/>
              </w:rPr>
            </w:pPr>
            <w:r>
              <w:rPr>
                <w:sz w:val="24"/>
                <w:szCs w:val="24"/>
              </w:rPr>
              <w:t>EC</w:t>
            </w:r>
          </w:p>
        </w:tc>
        <w:tc>
          <w:tcPr>
            <w:tcW w:w="3118" w:type="dxa"/>
          </w:tcPr>
          <w:p w14:paraId="15EEF88A" w14:textId="77777777" w:rsidR="00252154" w:rsidRDefault="00252154" w:rsidP="003A55D2">
            <w:pPr>
              <w:jc w:val="center"/>
              <w:rPr>
                <w:sz w:val="24"/>
                <w:szCs w:val="24"/>
              </w:rPr>
            </w:pPr>
            <w:r>
              <w:rPr>
                <w:sz w:val="24"/>
                <w:szCs w:val="24"/>
              </w:rPr>
              <w:t>34</w:t>
            </w:r>
          </w:p>
        </w:tc>
      </w:tr>
      <w:tr w:rsidR="00252154" w14:paraId="689E30BE" w14:textId="77777777" w:rsidTr="006D5BD2">
        <w:tc>
          <w:tcPr>
            <w:tcW w:w="3115" w:type="dxa"/>
          </w:tcPr>
          <w:p w14:paraId="41EE1CFF" w14:textId="77777777" w:rsidR="00252154" w:rsidRDefault="00252154" w:rsidP="003A55D2">
            <w:pPr>
              <w:jc w:val="center"/>
              <w:rPr>
                <w:sz w:val="24"/>
                <w:szCs w:val="24"/>
              </w:rPr>
            </w:pPr>
            <w:r>
              <w:rPr>
                <w:sz w:val="24"/>
                <w:szCs w:val="24"/>
              </w:rPr>
              <w:t>SE</w:t>
            </w:r>
          </w:p>
        </w:tc>
        <w:tc>
          <w:tcPr>
            <w:tcW w:w="3118" w:type="dxa"/>
          </w:tcPr>
          <w:p w14:paraId="66DB44A4" w14:textId="77777777" w:rsidR="00252154" w:rsidRDefault="00252154" w:rsidP="003A55D2">
            <w:pPr>
              <w:jc w:val="center"/>
              <w:rPr>
                <w:sz w:val="24"/>
                <w:szCs w:val="24"/>
              </w:rPr>
            </w:pPr>
            <w:r>
              <w:rPr>
                <w:sz w:val="24"/>
                <w:szCs w:val="24"/>
              </w:rPr>
              <w:t>24</w:t>
            </w:r>
          </w:p>
        </w:tc>
      </w:tr>
      <w:tr w:rsidR="00252154" w14:paraId="6396E0FE" w14:textId="77777777" w:rsidTr="006D5BD2">
        <w:trPr>
          <w:cantSplit/>
        </w:trPr>
        <w:tc>
          <w:tcPr>
            <w:tcW w:w="3115" w:type="dxa"/>
          </w:tcPr>
          <w:p w14:paraId="17C0E016" w14:textId="77777777" w:rsidR="00252154" w:rsidRDefault="00252154" w:rsidP="003A55D2">
            <w:pPr>
              <w:jc w:val="center"/>
              <w:rPr>
                <w:sz w:val="24"/>
                <w:szCs w:val="24"/>
              </w:rPr>
            </w:pPr>
            <w:r>
              <w:rPr>
                <w:sz w:val="24"/>
                <w:szCs w:val="24"/>
              </w:rPr>
              <w:t>SC</w:t>
            </w:r>
          </w:p>
        </w:tc>
        <w:tc>
          <w:tcPr>
            <w:tcW w:w="3118" w:type="dxa"/>
          </w:tcPr>
          <w:p w14:paraId="5D617785" w14:textId="77777777" w:rsidR="00252154" w:rsidRDefault="00252154" w:rsidP="003A55D2">
            <w:pPr>
              <w:jc w:val="center"/>
              <w:rPr>
                <w:sz w:val="24"/>
                <w:szCs w:val="24"/>
              </w:rPr>
            </w:pPr>
            <w:r>
              <w:rPr>
                <w:sz w:val="24"/>
                <w:szCs w:val="24"/>
              </w:rPr>
              <w:t>39</w:t>
            </w:r>
          </w:p>
        </w:tc>
      </w:tr>
      <w:tr w:rsidR="00252154" w14:paraId="7CDC6CF2" w14:textId="77777777" w:rsidTr="006D5BD2">
        <w:tc>
          <w:tcPr>
            <w:tcW w:w="3115" w:type="dxa"/>
          </w:tcPr>
          <w:p w14:paraId="2E426A2F" w14:textId="77777777" w:rsidR="00252154" w:rsidRDefault="00252154" w:rsidP="003A55D2">
            <w:pPr>
              <w:jc w:val="center"/>
              <w:rPr>
                <w:sz w:val="24"/>
                <w:szCs w:val="24"/>
              </w:rPr>
            </w:pPr>
            <w:r>
              <w:rPr>
                <w:sz w:val="24"/>
                <w:szCs w:val="24"/>
              </w:rPr>
              <w:t>SW</w:t>
            </w:r>
          </w:p>
        </w:tc>
        <w:tc>
          <w:tcPr>
            <w:tcW w:w="3118" w:type="dxa"/>
          </w:tcPr>
          <w:p w14:paraId="44F054DB" w14:textId="77777777" w:rsidR="00252154" w:rsidRDefault="00252154" w:rsidP="003A55D2">
            <w:pPr>
              <w:jc w:val="center"/>
              <w:rPr>
                <w:sz w:val="24"/>
                <w:szCs w:val="24"/>
              </w:rPr>
            </w:pPr>
            <w:r>
              <w:rPr>
                <w:sz w:val="24"/>
                <w:szCs w:val="24"/>
              </w:rPr>
              <w:t>7</w:t>
            </w:r>
          </w:p>
        </w:tc>
      </w:tr>
      <w:tr w:rsidR="00252154" w14:paraId="3A3AB9C4" w14:textId="77777777" w:rsidTr="006D5BD2">
        <w:tc>
          <w:tcPr>
            <w:tcW w:w="3115" w:type="dxa"/>
          </w:tcPr>
          <w:p w14:paraId="2F4C8D4E" w14:textId="77777777" w:rsidR="00252154" w:rsidRPr="004907F0" w:rsidRDefault="00252154" w:rsidP="004907F0">
            <w:pPr>
              <w:ind w:left="720" w:hanging="720"/>
              <w:jc w:val="center"/>
              <w:rPr>
                <w:b/>
                <w:sz w:val="24"/>
                <w:szCs w:val="24"/>
              </w:rPr>
            </w:pPr>
            <w:r w:rsidRPr="004907F0">
              <w:rPr>
                <w:b/>
                <w:sz w:val="24"/>
                <w:szCs w:val="24"/>
              </w:rPr>
              <w:t>TOTAL</w:t>
            </w:r>
          </w:p>
        </w:tc>
        <w:tc>
          <w:tcPr>
            <w:tcW w:w="3118" w:type="dxa"/>
          </w:tcPr>
          <w:p w14:paraId="26D5B9E3" w14:textId="77777777" w:rsidR="00252154" w:rsidRPr="004907F0" w:rsidRDefault="00252154" w:rsidP="003A55D2">
            <w:pPr>
              <w:jc w:val="center"/>
              <w:rPr>
                <w:b/>
                <w:sz w:val="24"/>
                <w:szCs w:val="24"/>
              </w:rPr>
            </w:pPr>
            <w:r w:rsidRPr="004907F0">
              <w:rPr>
                <w:b/>
                <w:sz w:val="24"/>
                <w:szCs w:val="24"/>
              </w:rPr>
              <w:t>150</w:t>
            </w:r>
          </w:p>
        </w:tc>
      </w:tr>
    </w:tbl>
    <w:p w14:paraId="79F55A68" w14:textId="77777777" w:rsidR="004907F0" w:rsidRDefault="004907F0" w:rsidP="004907F0">
      <w:pPr>
        <w:jc w:val="center"/>
        <w:rPr>
          <w:sz w:val="24"/>
          <w:szCs w:val="24"/>
        </w:rPr>
      </w:pPr>
    </w:p>
    <w:p w14:paraId="549A4F8D" w14:textId="77777777" w:rsidR="004907F0" w:rsidRDefault="004907F0" w:rsidP="004907F0">
      <w:pPr>
        <w:jc w:val="center"/>
        <w:rPr>
          <w:sz w:val="24"/>
          <w:szCs w:val="24"/>
        </w:rPr>
      </w:pPr>
    </w:p>
    <w:p w14:paraId="3EEAB328" w14:textId="77777777" w:rsidR="004907F0" w:rsidRDefault="004907F0" w:rsidP="004907F0">
      <w:pPr>
        <w:jc w:val="center"/>
        <w:rPr>
          <w:sz w:val="24"/>
          <w:szCs w:val="24"/>
        </w:rPr>
      </w:pPr>
    </w:p>
    <w:p w14:paraId="4CE7E4B1" w14:textId="77777777" w:rsidR="004907F0" w:rsidRDefault="004907F0" w:rsidP="004907F0">
      <w:pPr>
        <w:jc w:val="center"/>
        <w:rPr>
          <w:b/>
          <w:sz w:val="28"/>
          <w:szCs w:val="28"/>
        </w:rPr>
      </w:pPr>
      <w:r>
        <w:rPr>
          <w:b/>
          <w:sz w:val="28"/>
          <w:szCs w:val="28"/>
        </w:rPr>
        <w:t>Rate of settlement in post judgment cases</w:t>
      </w:r>
    </w:p>
    <w:p w14:paraId="773D2800" w14:textId="77777777" w:rsidR="004907F0" w:rsidRDefault="004907F0" w:rsidP="004907F0">
      <w:pPr>
        <w:rPr>
          <w:sz w:val="24"/>
          <w:szCs w:val="24"/>
        </w:rPr>
      </w:pPr>
      <w:r>
        <w:rPr>
          <w:sz w:val="24"/>
          <w:szCs w:val="24"/>
        </w:rPr>
        <w:t xml:space="preserve">In 118 of the 150 cases referred for post-judgment mediation the parties were able to settle all or some issues, for a settlement rate of 79%.  In 32 cases the parties were unable to settle anything, for an unsuccessful mediation rate of 21%. </w:t>
      </w:r>
    </w:p>
    <w:p w14:paraId="00346FB4" w14:textId="77777777" w:rsidR="004907F0" w:rsidRDefault="004907F0" w:rsidP="004907F0">
      <w:pPr>
        <w:rPr>
          <w:sz w:val="24"/>
          <w:szCs w:val="24"/>
        </w:rPr>
      </w:pPr>
    </w:p>
    <w:p w14:paraId="76AE0ED9" w14:textId="77777777" w:rsidR="004907F0" w:rsidRDefault="004907F0" w:rsidP="004907F0">
      <w:pPr>
        <w:rPr>
          <w:sz w:val="24"/>
          <w:szCs w:val="24"/>
        </w:rPr>
      </w:pPr>
      <w:r>
        <w:rPr>
          <w:sz w:val="24"/>
          <w:szCs w:val="24"/>
        </w:rPr>
        <w:t>The 21% post judgment rate of unsuccessful mediation is slightly higher than the unsuccessful mediation rate of 18% for new cases.</w:t>
      </w:r>
    </w:p>
    <w:p w14:paraId="0E7C9F76" w14:textId="77777777" w:rsidR="004907F0" w:rsidRDefault="004907F0" w:rsidP="004907F0">
      <w:pPr>
        <w:rPr>
          <w:sz w:val="24"/>
          <w:szCs w:val="24"/>
        </w:rPr>
      </w:pPr>
    </w:p>
    <w:p w14:paraId="5DFE20B2" w14:textId="77777777" w:rsidR="004907F0" w:rsidRDefault="004907F0" w:rsidP="004907F0">
      <w:pPr>
        <w:jc w:val="center"/>
        <w:rPr>
          <w:b/>
          <w:sz w:val="28"/>
          <w:szCs w:val="28"/>
        </w:rPr>
      </w:pPr>
      <w:r>
        <w:rPr>
          <w:b/>
          <w:sz w:val="28"/>
          <w:szCs w:val="28"/>
        </w:rPr>
        <w:t>Time used in post judgment cases</w:t>
      </w:r>
    </w:p>
    <w:p w14:paraId="79393AA8" w14:textId="77777777" w:rsidR="004907F0" w:rsidRDefault="004907F0" w:rsidP="004907F0">
      <w:pPr>
        <w:jc w:val="center"/>
        <w:rPr>
          <w:b/>
          <w:sz w:val="28"/>
          <w:szCs w:val="28"/>
        </w:rPr>
      </w:pPr>
    </w:p>
    <w:p w14:paraId="238C31C0" w14:textId="77777777" w:rsidR="004907F0" w:rsidRPr="00466784" w:rsidRDefault="004907F0" w:rsidP="004907F0">
      <w:pPr>
        <w:rPr>
          <w:sz w:val="24"/>
          <w:szCs w:val="24"/>
        </w:rPr>
      </w:pPr>
      <w:r>
        <w:rPr>
          <w:sz w:val="24"/>
          <w:szCs w:val="24"/>
        </w:rPr>
        <w:t>Fifty-eight percent of the 150 cases that were referred for post judgment mediation spent over 4 hours in mediation.</w:t>
      </w:r>
    </w:p>
    <w:p w14:paraId="545D49D2" w14:textId="77777777" w:rsidR="004907F0" w:rsidRDefault="004907F0" w:rsidP="004907F0">
      <w:pPr>
        <w:rPr>
          <w:sz w:val="24"/>
          <w:szCs w:val="24"/>
        </w:rPr>
      </w:pPr>
    </w:p>
    <w:p w14:paraId="19E5EA8A" w14:textId="77777777" w:rsidR="004907F0" w:rsidRDefault="004907F0" w:rsidP="00F325AE">
      <w:pPr>
        <w:rPr>
          <w:sz w:val="24"/>
          <w:szCs w:val="24"/>
        </w:rPr>
      </w:pPr>
    </w:p>
    <w:p w14:paraId="24635D2B" w14:textId="77777777" w:rsidR="00353483" w:rsidRDefault="00353483" w:rsidP="00353483">
      <w:pPr>
        <w:jc w:val="center"/>
        <w:rPr>
          <w:b/>
          <w:sz w:val="28"/>
          <w:szCs w:val="28"/>
        </w:rPr>
      </w:pPr>
      <w:r>
        <w:rPr>
          <w:b/>
          <w:sz w:val="28"/>
          <w:szCs w:val="28"/>
        </w:rPr>
        <w:t>Estimated Cost Savings if Mediation Hours are Reduced</w:t>
      </w:r>
    </w:p>
    <w:p w14:paraId="12F9F478" w14:textId="77777777" w:rsidR="00353483" w:rsidRPr="00353483" w:rsidRDefault="00353483" w:rsidP="00353483">
      <w:pPr>
        <w:rPr>
          <w:sz w:val="28"/>
          <w:szCs w:val="28"/>
        </w:rPr>
      </w:pPr>
    </w:p>
    <w:p w14:paraId="1A245BC4" w14:textId="5106D9A8" w:rsidR="00BA1A3C" w:rsidRPr="00BD76A9" w:rsidRDefault="00353483" w:rsidP="00F325AE">
      <w:pPr>
        <w:rPr>
          <w:sz w:val="24"/>
          <w:szCs w:val="24"/>
        </w:rPr>
      </w:pPr>
      <w:r>
        <w:rPr>
          <w:sz w:val="24"/>
          <w:szCs w:val="24"/>
        </w:rPr>
        <w:t>Currently, under N.D.R.Ct. 8.1 parties are entitled to six hours of combined pre-mediation orientation and mediation</w:t>
      </w:r>
      <w:r w:rsidR="004907F0">
        <w:rPr>
          <w:sz w:val="24"/>
          <w:szCs w:val="24"/>
        </w:rPr>
        <w:t xml:space="preserve"> at state expense. </w:t>
      </w:r>
      <w:r>
        <w:rPr>
          <w:sz w:val="24"/>
          <w:szCs w:val="24"/>
        </w:rPr>
        <w:t xml:space="preserve"> Mediators are currently compensated at the rate of $170 per hour.  Parties may purchase additional mediations sessions from the mediator at their own expense at the program rate of $170 </w:t>
      </w:r>
      <w:r w:rsidR="004907F0">
        <w:rPr>
          <w:sz w:val="24"/>
          <w:szCs w:val="24"/>
        </w:rPr>
        <w:t xml:space="preserve">per </w:t>
      </w:r>
      <w:r>
        <w:rPr>
          <w:sz w:val="24"/>
          <w:szCs w:val="24"/>
        </w:rPr>
        <w:t>hours.</w:t>
      </w:r>
      <w:r w:rsidR="00913484">
        <w:rPr>
          <w:sz w:val="24"/>
          <w:szCs w:val="24"/>
        </w:rPr>
        <w:t xml:space="preserve"> P</w:t>
      </w:r>
      <w:r>
        <w:rPr>
          <w:sz w:val="24"/>
          <w:szCs w:val="24"/>
        </w:rPr>
        <w:t>arties</w:t>
      </w:r>
      <w:r w:rsidR="00913484">
        <w:rPr>
          <w:sz w:val="24"/>
          <w:szCs w:val="24"/>
        </w:rPr>
        <w:t xml:space="preserve"> </w:t>
      </w:r>
      <w:r>
        <w:rPr>
          <w:sz w:val="24"/>
          <w:szCs w:val="24"/>
        </w:rPr>
        <w:t xml:space="preserve">may apply </w:t>
      </w:r>
      <w:r w:rsidR="00913484">
        <w:rPr>
          <w:sz w:val="24"/>
          <w:szCs w:val="24"/>
        </w:rPr>
        <w:t xml:space="preserve">to the mediation program manager </w:t>
      </w:r>
      <w:r>
        <w:rPr>
          <w:sz w:val="24"/>
          <w:szCs w:val="24"/>
        </w:rPr>
        <w:t>for a</w:t>
      </w:r>
      <w:r w:rsidR="00913484">
        <w:rPr>
          <w:sz w:val="24"/>
          <w:szCs w:val="24"/>
        </w:rPr>
        <w:t xml:space="preserve"> fee reduction or waiver based upon their ability to pay.  The mediation program does not collect data on private pay mediation sessions.  </w:t>
      </w:r>
    </w:p>
    <w:p w14:paraId="7FE11C35" w14:textId="77777777" w:rsidR="00407499" w:rsidRDefault="00407499" w:rsidP="00F325AE">
      <w:pPr>
        <w:rPr>
          <w:sz w:val="24"/>
          <w:szCs w:val="24"/>
        </w:rPr>
      </w:pPr>
    </w:p>
    <w:p w14:paraId="7A040B52" w14:textId="77777777" w:rsidR="00407499" w:rsidRDefault="00407499" w:rsidP="00F325AE">
      <w:pPr>
        <w:rPr>
          <w:sz w:val="24"/>
          <w:szCs w:val="24"/>
        </w:rPr>
      </w:pPr>
      <w:r>
        <w:rPr>
          <w:sz w:val="24"/>
          <w:szCs w:val="24"/>
        </w:rPr>
        <w:lastRenderedPageBreak/>
        <w:t xml:space="preserve">If the number of </w:t>
      </w:r>
      <w:r w:rsidR="004907F0">
        <w:rPr>
          <w:sz w:val="24"/>
          <w:szCs w:val="24"/>
        </w:rPr>
        <w:t xml:space="preserve">state-paid </w:t>
      </w:r>
      <w:r>
        <w:rPr>
          <w:sz w:val="24"/>
          <w:szCs w:val="24"/>
        </w:rPr>
        <w:t xml:space="preserve">hours was reduced from six to four the estimated savings would be $258,400 for the biennium. If the number of </w:t>
      </w:r>
      <w:r w:rsidR="004907F0">
        <w:rPr>
          <w:sz w:val="24"/>
          <w:szCs w:val="24"/>
        </w:rPr>
        <w:t>state-paid</w:t>
      </w:r>
      <w:r>
        <w:rPr>
          <w:sz w:val="24"/>
          <w:szCs w:val="24"/>
        </w:rPr>
        <w:t xml:space="preserve"> was reduced from six to five, the estimated savings would be $129,200 for the biennium. </w:t>
      </w:r>
    </w:p>
    <w:p w14:paraId="0833428D" w14:textId="77777777" w:rsidR="005B6C7A" w:rsidRDefault="005B6C7A" w:rsidP="00F325AE">
      <w:pPr>
        <w:rPr>
          <w:sz w:val="24"/>
          <w:szCs w:val="24"/>
        </w:rPr>
      </w:pPr>
    </w:p>
    <w:p w14:paraId="318CD525" w14:textId="77777777" w:rsidR="005B6C7A" w:rsidRDefault="005B6C7A" w:rsidP="00F325AE">
      <w:pPr>
        <w:rPr>
          <w:sz w:val="24"/>
          <w:szCs w:val="24"/>
        </w:rPr>
      </w:pPr>
      <w:r>
        <w:rPr>
          <w:sz w:val="24"/>
          <w:szCs w:val="24"/>
        </w:rPr>
        <w:t>While the pre-mediation orientation could be delivered as a general overview available on our website</w:t>
      </w:r>
      <w:r w:rsidR="004907F0" w:rsidRPr="004907F0">
        <w:rPr>
          <w:sz w:val="24"/>
          <w:szCs w:val="24"/>
        </w:rPr>
        <w:t xml:space="preserve"> </w:t>
      </w:r>
      <w:r w:rsidR="004907F0">
        <w:rPr>
          <w:sz w:val="24"/>
          <w:szCs w:val="24"/>
        </w:rPr>
        <w:t>as a video</w:t>
      </w:r>
      <w:r>
        <w:rPr>
          <w:sz w:val="24"/>
          <w:szCs w:val="24"/>
        </w:rPr>
        <w:t xml:space="preserve">, we believe that would be detrimental to the success of the program. It is during this pre-mediation session that each party has an opportunity to meet one-on-one </w:t>
      </w:r>
      <w:r w:rsidR="004907F0">
        <w:rPr>
          <w:sz w:val="24"/>
          <w:szCs w:val="24"/>
        </w:rPr>
        <w:t>with the</w:t>
      </w:r>
      <w:r>
        <w:rPr>
          <w:sz w:val="24"/>
          <w:szCs w:val="24"/>
        </w:rPr>
        <w:t xml:space="preserve"> mediator</w:t>
      </w:r>
      <w:r w:rsidR="004907F0">
        <w:rPr>
          <w:sz w:val="24"/>
          <w:szCs w:val="24"/>
        </w:rPr>
        <w:t xml:space="preserve">, </w:t>
      </w:r>
      <w:r>
        <w:rPr>
          <w:sz w:val="24"/>
          <w:szCs w:val="24"/>
        </w:rPr>
        <w:t>discuss the specific issues in their case</w:t>
      </w:r>
      <w:r w:rsidR="004907F0">
        <w:rPr>
          <w:sz w:val="24"/>
          <w:szCs w:val="24"/>
        </w:rPr>
        <w:t>, and ask any questions they may have about the process</w:t>
      </w:r>
      <w:r>
        <w:rPr>
          <w:sz w:val="24"/>
          <w:szCs w:val="24"/>
        </w:rPr>
        <w:t xml:space="preserve">. This allows the mediator to provide detailed instructions to each party on the documents they need to bring to the session and to point to other resources that might be helpful when they consider the issues in the case.   </w:t>
      </w:r>
    </w:p>
    <w:sectPr w:rsidR="005B6C7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E3E8A2" w14:textId="77777777" w:rsidR="008211AD" w:rsidRDefault="008211AD" w:rsidP="009A51C1">
      <w:r>
        <w:separator/>
      </w:r>
    </w:p>
  </w:endnote>
  <w:endnote w:type="continuationSeparator" w:id="0">
    <w:p w14:paraId="7D5B59F7" w14:textId="77777777" w:rsidR="008211AD" w:rsidRDefault="008211AD" w:rsidP="009A5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1964E" w14:textId="48816AB0" w:rsidR="009A51C1" w:rsidRDefault="00844B3C">
    <w:pPr>
      <w:pStyle w:val="Footer"/>
      <w:jc w:val="center"/>
    </w:pPr>
    <w:r>
      <w:t xml:space="preserve">Page </w:t>
    </w:r>
    <w:sdt>
      <w:sdtPr>
        <w:id w:val="919376644"/>
        <w:docPartObj>
          <w:docPartGallery w:val="Page Numbers (Bottom of Page)"/>
          <w:docPartUnique/>
        </w:docPartObj>
      </w:sdtPr>
      <w:sdtEndPr>
        <w:rPr>
          <w:noProof/>
        </w:rPr>
      </w:sdtEndPr>
      <w:sdtContent>
        <w:r w:rsidR="009A51C1">
          <w:fldChar w:fldCharType="begin"/>
        </w:r>
        <w:r w:rsidR="009A51C1">
          <w:instrText xml:space="preserve"> PAGE   \* MERGEFORMAT </w:instrText>
        </w:r>
        <w:r w:rsidR="009A51C1">
          <w:fldChar w:fldCharType="separate"/>
        </w:r>
        <w:r w:rsidR="00C66217">
          <w:rPr>
            <w:noProof/>
          </w:rPr>
          <w:t>3</w:t>
        </w:r>
        <w:r w:rsidR="009A51C1">
          <w:rPr>
            <w:noProof/>
          </w:rPr>
          <w:fldChar w:fldCharType="end"/>
        </w:r>
      </w:sdtContent>
    </w:sdt>
  </w:p>
  <w:p w14:paraId="457FE509" w14:textId="77777777" w:rsidR="009A51C1" w:rsidRDefault="009A5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5FB36" w14:textId="77777777" w:rsidR="008211AD" w:rsidRDefault="008211AD" w:rsidP="009A51C1">
      <w:r>
        <w:separator/>
      </w:r>
    </w:p>
  </w:footnote>
  <w:footnote w:type="continuationSeparator" w:id="0">
    <w:p w14:paraId="38A9CB73" w14:textId="77777777" w:rsidR="008211AD" w:rsidRDefault="008211AD" w:rsidP="009A51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84"/>
    <w:rsid w:val="00004F72"/>
    <w:rsid w:val="00006D7F"/>
    <w:rsid w:val="000B2515"/>
    <w:rsid w:val="000D7511"/>
    <w:rsid w:val="001C5E97"/>
    <w:rsid w:val="00252154"/>
    <w:rsid w:val="002A56EB"/>
    <w:rsid w:val="00353483"/>
    <w:rsid w:val="003E319B"/>
    <w:rsid w:val="00407499"/>
    <w:rsid w:val="00456468"/>
    <w:rsid w:val="00466784"/>
    <w:rsid w:val="004907F0"/>
    <w:rsid w:val="005B6C7A"/>
    <w:rsid w:val="00604ECD"/>
    <w:rsid w:val="006A3BCC"/>
    <w:rsid w:val="006B24C0"/>
    <w:rsid w:val="006D5BD2"/>
    <w:rsid w:val="007310AC"/>
    <w:rsid w:val="00765BE7"/>
    <w:rsid w:val="008211AD"/>
    <w:rsid w:val="00844B3C"/>
    <w:rsid w:val="00845DC9"/>
    <w:rsid w:val="00866C3C"/>
    <w:rsid w:val="00913484"/>
    <w:rsid w:val="009A51C1"/>
    <w:rsid w:val="00A235CF"/>
    <w:rsid w:val="00A3643E"/>
    <w:rsid w:val="00A93F02"/>
    <w:rsid w:val="00B0734C"/>
    <w:rsid w:val="00B12341"/>
    <w:rsid w:val="00B53941"/>
    <w:rsid w:val="00BA1A3C"/>
    <w:rsid w:val="00BD76A9"/>
    <w:rsid w:val="00C66217"/>
    <w:rsid w:val="00C9332E"/>
    <w:rsid w:val="00CB7ABD"/>
    <w:rsid w:val="00E74223"/>
    <w:rsid w:val="00F325AE"/>
    <w:rsid w:val="00F62EC4"/>
    <w:rsid w:val="00FE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EEF29"/>
  <w15:docId w15:val="{35D0CB2D-02D2-4FA2-8DBE-FE682F5E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678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5BE7"/>
    <w:rPr>
      <w:sz w:val="16"/>
      <w:szCs w:val="16"/>
    </w:rPr>
  </w:style>
  <w:style w:type="paragraph" w:styleId="CommentText">
    <w:name w:val="annotation text"/>
    <w:basedOn w:val="Normal"/>
    <w:link w:val="CommentTextChar"/>
    <w:uiPriority w:val="99"/>
    <w:semiHidden/>
    <w:unhideWhenUsed/>
    <w:rsid w:val="00765BE7"/>
    <w:rPr>
      <w:sz w:val="20"/>
      <w:szCs w:val="20"/>
    </w:rPr>
  </w:style>
  <w:style w:type="character" w:customStyle="1" w:styleId="CommentTextChar">
    <w:name w:val="Comment Text Char"/>
    <w:basedOn w:val="DefaultParagraphFont"/>
    <w:link w:val="CommentText"/>
    <w:uiPriority w:val="99"/>
    <w:semiHidden/>
    <w:rsid w:val="00765BE7"/>
    <w:rPr>
      <w:sz w:val="20"/>
      <w:szCs w:val="20"/>
    </w:rPr>
  </w:style>
  <w:style w:type="paragraph" w:styleId="CommentSubject">
    <w:name w:val="annotation subject"/>
    <w:basedOn w:val="CommentText"/>
    <w:next w:val="CommentText"/>
    <w:link w:val="CommentSubjectChar"/>
    <w:uiPriority w:val="99"/>
    <w:semiHidden/>
    <w:unhideWhenUsed/>
    <w:rsid w:val="00765BE7"/>
    <w:rPr>
      <w:b/>
      <w:bCs/>
    </w:rPr>
  </w:style>
  <w:style w:type="character" w:customStyle="1" w:styleId="CommentSubjectChar">
    <w:name w:val="Comment Subject Char"/>
    <w:basedOn w:val="CommentTextChar"/>
    <w:link w:val="CommentSubject"/>
    <w:uiPriority w:val="99"/>
    <w:semiHidden/>
    <w:rsid w:val="00765BE7"/>
    <w:rPr>
      <w:b/>
      <w:bCs/>
      <w:sz w:val="20"/>
      <w:szCs w:val="20"/>
    </w:rPr>
  </w:style>
  <w:style w:type="paragraph" w:styleId="BalloonText">
    <w:name w:val="Balloon Text"/>
    <w:basedOn w:val="Normal"/>
    <w:link w:val="BalloonTextChar"/>
    <w:uiPriority w:val="99"/>
    <w:semiHidden/>
    <w:unhideWhenUsed/>
    <w:rsid w:val="00765BE7"/>
    <w:rPr>
      <w:rFonts w:ascii="Tahoma" w:hAnsi="Tahoma" w:cs="Tahoma"/>
      <w:sz w:val="16"/>
      <w:szCs w:val="16"/>
    </w:rPr>
  </w:style>
  <w:style w:type="character" w:customStyle="1" w:styleId="BalloonTextChar">
    <w:name w:val="Balloon Text Char"/>
    <w:basedOn w:val="DefaultParagraphFont"/>
    <w:link w:val="BalloonText"/>
    <w:uiPriority w:val="99"/>
    <w:semiHidden/>
    <w:rsid w:val="00765BE7"/>
    <w:rPr>
      <w:rFonts w:ascii="Tahoma" w:hAnsi="Tahoma" w:cs="Tahoma"/>
      <w:sz w:val="16"/>
      <w:szCs w:val="16"/>
    </w:rPr>
  </w:style>
  <w:style w:type="paragraph" w:styleId="Header">
    <w:name w:val="header"/>
    <w:basedOn w:val="Normal"/>
    <w:link w:val="HeaderChar"/>
    <w:uiPriority w:val="99"/>
    <w:unhideWhenUsed/>
    <w:rsid w:val="009A51C1"/>
    <w:pPr>
      <w:tabs>
        <w:tab w:val="center" w:pos="4680"/>
        <w:tab w:val="right" w:pos="9360"/>
      </w:tabs>
    </w:pPr>
  </w:style>
  <w:style w:type="character" w:customStyle="1" w:styleId="HeaderChar">
    <w:name w:val="Header Char"/>
    <w:basedOn w:val="DefaultParagraphFont"/>
    <w:link w:val="Header"/>
    <w:uiPriority w:val="99"/>
    <w:rsid w:val="009A51C1"/>
  </w:style>
  <w:style w:type="paragraph" w:styleId="Footer">
    <w:name w:val="footer"/>
    <w:basedOn w:val="Normal"/>
    <w:link w:val="FooterChar"/>
    <w:uiPriority w:val="99"/>
    <w:unhideWhenUsed/>
    <w:rsid w:val="009A51C1"/>
    <w:pPr>
      <w:tabs>
        <w:tab w:val="center" w:pos="4680"/>
        <w:tab w:val="right" w:pos="9360"/>
      </w:tabs>
    </w:pPr>
  </w:style>
  <w:style w:type="character" w:customStyle="1" w:styleId="FooterChar">
    <w:name w:val="Footer Char"/>
    <w:basedOn w:val="DefaultParagraphFont"/>
    <w:link w:val="Footer"/>
    <w:uiPriority w:val="99"/>
    <w:rsid w:val="009A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5C666-C83E-4EF3-BB30-4972F2CC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ND State Court</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Ferderer, Cathy</dc:creator>
  <cp:lastModifiedBy>Holewa, Sally</cp:lastModifiedBy>
  <cp:revision>2</cp:revision>
  <cp:lastPrinted>2016-10-05T21:07:00Z</cp:lastPrinted>
  <dcterms:created xsi:type="dcterms:W3CDTF">2020-06-29T17:15:00Z</dcterms:created>
  <dcterms:modified xsi:type="dcterms:W3CDTF">2020-06-29T17:15:00Z</dcterms:modified>
</cp:coreProperties>
</file>